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bidi w:val="0"/>
        <w:snapToGrid/>
        <w:spacing w:line="600" w:lineRule="exact"/>
        <w:ind w:firstLine="0" w:firstLineChars="0"/>
        <w:textAlignment w:val="auto"/>
        <w:rPr>
          <w:rFonts w:hint="eastAsia" w:ascii="方正小标宋简体" w:hAnsi="方正小标宋简体" w:cs="方正小标宋简体"/>
          <w:b w:val="0"/>
          <w:lang w:val="en-US" w:eastAsia="zh-CN"/>
        </w:rPr>
      </w:pPr>
      <w:bookmarkStart w:id="0" w:name="OLE_LINK4"/>
      <w:bookmarkStart w:id="1" w:name="OLE_LINK7"/>
      <w:bookmarkStart w:id="7" w:name="_GoBack"/>
      <w:r>
        <w:rPr>
          <w:rFonts w:hint="eastAsia" w:ascii="方正小标宋简体" w:hAnsi="方正小标宋简体" w:cs="方正小标宋简体"/>
          <w:b w:val="0"/>
          <w:lang w:val="en-US" w:eastAsia="zh-CN"/>
        </w:rPr>
        <w:t>成都博瑞传播股份有限公司股权投资审计服务采购项目第二次比选中标结果公告</w:t>
      </w:r>
      <w:bookmarkEnd w:id="0"/>
      <w:bookmarkEnd w:id="7"/>
    </w:p>
    <w:bookmarkEnd w:id="1"/>
    <w:p>
      <w:pPr>
        <w:keepNext w:val="0"/>
        <w:keepLines w:val="0"/>
        <w:pageBreakBefore w:val="0"/>
        <w:widowControl w:val="0"/>
        <w:kinsoku/>
        <w:wordWrap/>
        <w:overflowPunct/>
        <w:topLinePunct w:val="0"/>
        <w:bidi w:val="0"/>
        <w:snapToGrid/>
        <w:spacing w:line="600" w:lineRule="exact"/>
        <w:jc w:val="center"/>
        <w:textAlignment w:val="auto"/>
        <w:rPr>
          <w:rFonts w:hint="eastAsia" w:ascii="方正小标宋简体" w:hAnsi="Times New Roman" w:eastAsia="方正小标宋简体" w:cs="宋体"/>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default" w:ascii="仿宋_GB2312" w:hAnsi="仿宋_GB2312" w:eastAsia="仿宋_GB2312" w:cs="仿宋_GB2312"/>
          <w:sz w:val="32"/>
          <w:szCs w:val="32"/>
          <w:highlight w:val="none"/>
          <w:lang w:val="en-US" w:eastAsia="zh-CN"/>
        </w:rPr>
      </w:pPr>
      <w:bookmarkStart w:id="2" w:name="OLE_LINK9"/>
      <w:r>
        <w:rPr>
          <w:rFonts w:hint="eastAsia" w:ascii="仿宋_GB2312" w:hAnsi="仿宋_GB2312" w:eastAsia="仿宋_GB2312" w:cs="仿宋_GB2312"/>
          <w:b/>
          <w:color w:val="auto"/>
          <w:kern w:val="0"/>
          <w:sz w:val="32"/>
          <w:szCs w:val="32"/>
          <w:lang w:val="en-US" w:eastAsia="zh-CN"/>
        </w:rPr>
        <w:t>一、项目基本情况</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1、项目名称：</w:t>
      </w:r>
      <w:bookmarkStart w:id="3" w:name="OLE_LINK3"/>
      <w:r>
        <w:rPr>
          <w:rFonts w:hint="eastAsia" w:ascii="仿宋_GB2312" w:hAnsi="仿宋_GB2312" w:eastAsia="仿宋_GB2312" w:cs="仿宋_GB2312"/>
          <w:sz w:val="32"/>
          <w:szCs w:val="32"/>
          <w:highlight w:val="none"/>
          <w:lang w:val="zh-CN" w:eastAsia="zh-CN"/>
        </w:rPr>
        <w:t>成都博瑞传播股份有限公司</w:t>
      </w:r>
      <w:r>
        <w:rPr>
          <w:rFonts w:hint="eastAsia" w:ascii="仿宋_GB2312" w:hAnsi="仿宋_GB2312" w:eastAsia="仿宋_GB2312" w:cs="仿宋_GB2312"/>
          <w:sz w:val="32"/>
          <w:szCs w:val="32"/>
          <w:highlight w:val="none"/>
          <w:lang w:val="en-US" w:eastAsia="zh-CN"/>
        </w:rPr>
        <w:t>股权投资审计服务采购项目第二次比选</w:t>
      </w:r>
      <w:bookmarkEnd w:id="3"/>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2、项目编号：--</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3" w:firstLineChars="200"/>
        <w:jc w:val="left"/>
        <w:textAlignment w:val="auto"/>
        <w:rPr>
          <w:rFonts w:hint="eastAsia" w:ascii="仿宋_GB2312" w:hAnsi="仿宋_GB2312" w:eastAsia="仿宋_GB2312" w:cs="仿宋_GB2312"/>
          <w:b/>
          <w:color w:val="auto"/>
          <w:kern w:val="0"/>
          <w:sz w:val="32"/>
          <w:szCs w:val="32"/>
          <w:lang w:val="en-US" w:eastAsia="zh-CN"/>
        </w:rPr>
      </w:pPr>
      <w:r>
        <w:rPr>
          <w:rFonts w:hint="eastAsia" w:ascii="仿宋_GB2312" w:hAnsi="仿宋_GB2312" w:eastAsia="仿宋_GB2312" w:cs="仿宋_GB2312"/>
          <w:b/>
          <w:color w:val="auto"/>
          <w:kern w:val="0"/>
          <w:sz w:val="32"/>
          <w:szCs w:val="32"/>
          <w:lang w:val="en-US" w:eastAsia="zh-CN"/>
        </w:rPr>
        <w:t>二、采购结果</w:t>
      </w:r>
    </w:p>
    <w:tbl>
      <w:tblPr>
        <w:tblStyle w:val="3"/>
        <w:tblpPr w:leftFromText="180" w:rightFromText="180" w:vertAnchor="text" w:horzAnchor="page" w:tblpX="1620" w:tblpY="595"/>
        <w:tblOverlap w:val="never"/>
        <w:tblW w:w="966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220"/>
        <w:gridCol w:w="3220"/>
        <w:gridCol w:w="32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07" w:hRule="atLeast"/>
          <w:tblHeader/>
        </w:trPr>
        <w:tc>
          <w:tcPr>
            <w:tcW w:w="3220"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eastAsia" w:ascii="仿宋_GB2312" w:hAnsi="仿宋_GB2312" w:eastAsia="仿宋_GB2312" w:cs="仿宋_GB2312"/>
                <w:b/>
                <w:bCs/>
                <w:i w:val="0"/>
                <w:iCs w:val="0"/>
                <w:sz w:val="32"/>
                <w:szCs w:val="32"/>
              </w:rPr>
            </w:pPr>
            <w:r>
              <w:rPr>
                <w:rFonts w:hint="eastAsia" w:ascii="仿宋_GB2312" w:hAnsi="仿宋_GB2312" w:eastAsia="仿宋_GB2312" w:cs="仿宋_GB2312"/>
                <w:b/>
                <w:bCs/>
                <w:i w:val="0"/>
                <w:iCs w:val="0"/>
                <w:kern w:val="0"/>
                <w:sz w:val="32"/>
                <w:szCs w:val="32"/>
                <w:lang w:val="en-US" w:eastAsia="zh-CN" w:bidi="ar"/>
              </w:rPr>
              <w:t>供应商名称</w:t>
            </w:r>
          </w:p>
        </w:tc>
        <w:tc>
          <w:tcPr>
            <w:tcW w:w="3220"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eastAsia" w:ascii="仿宋_GB2312" w:hAnsi="仿宋_GB2312" w:eastAsia="仿宋_GB2312" w:cs="仿宋_GB2312"/>
                <w:b/>
                <w:bCs/>
                <w:i w:val="0"/>
                <w:iCs w:val="0"/>
                <w:sz w:val="32"/>
                <w:szCs w:val="32"/>
              </w:rPr>
            </w:pPr>
            <w:r>
              <w:rPr>
                <w:rFonts w:hint="eastAsia" w:ascii="仿宋_GB2312" w:hAnsi="仿宋_GB2312" w:eastAsia="仿宋_GB2312" w:cs="仿宋_GB2312"/>
                <w:b/>
                <w:bCs/>
                <w:i w:val="0"/>
                <w:iCs w:val="0"/>
                <w:kern w:val="0"/>
                <w:sz w:val="32"/>
                <w:szCs w:val="32"/>
                <w:lang w:val="en-US" w:eastAsia="zh-CN" w:bidi="ar"/>
              </w:rPr>
              <w:t>供应商地址</w:t>
            </w:r>
          </w:p>
        </w:tc>
        <w:tc>
          <w:tcPr>
            <w:tcW w:w="3220"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eastAsia" w:ascii="仿宋_GB2312" w:hAnsi="仿宋_GB2312" w:eastAsia="仿宋_GB2312" w:cs="仿宋_GB2312"/>
                <w:b/>
                <w:bCs/>
                <w:i w:val="0"/>
                <w:iCs w:val="0"/>
                <w:sz w:val="32"/>
                <w:szCs w:val="32"/>
              </w:rPr>
            </w:pPr>
            <w:r>
              <w:rPr>
                <w:rFonts w:hint="eastAsia" w:ascii="仿宋_GB2312" w:hAnsi="仿宋_GB2312" w:eastAsia="仿宋_GB2312" w:cs="仿宋_GB2312"/>
                <w:b/>
                <w:bCs/>
                <w:i w:val="0"/>
                <w:iCs w:val="0"/>
                <w:kern w:val="0"/>
                <w:sz w:val="32"/>
                <w:szCs w:val="32"/>
                <w:lang w:val="en-US" w:eastAsia="zh-CN" w:bidi="ar"/>
              </w:rPr>
              <w:t>成交金额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72" w:hRule="atLeast"/>
        </w:trPr>
        <w:tc>
          <w:tcPr>
            <w:tcW w:w="3220"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default" w:ascii="仿宋_GB2312" w:hAnsi="仿宋_GB2312" w:eastAsia="仿宋_GB2312" w:cs="仿宋_GB2312"/>
                <w:sz w:val="32"/>
                <w:szCs w:val="32"/>
                <w:lang w:val="en-US" w:eastAsia="zh-CN"/>
              </w:rPr>
            </w:pPr>
            <w:bookmarkStart w:id="4" w:name="OLE_LINK6"/>
            <w:r>
              <w:rPr>
                <w:rFonts w:hint="eastAsia" w:ascii="仿宋_GB2312" w:hAnsi="仿宋_GB2312" w:cs="仿宋_GB2312"/>
                <w:sz w:val="32"/>
                <w:szCs w:val="32"/>
                <w:lang w:val="en-US" w:eastAsia="zh-CN"/>
              </w:rPr>
              <w:t>信永中和会计师事务所（特殊普通合伙）成都分所</w:t>
            </w:r>
            <w:bookmarkEnd w:id="4"/>
          </w:p>
        </w:tc>
        <w:tc>
          <w:tcPr>
            <w:tcW w:w="3220"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成都市高新区交子大道88号2幢8层801号</w:t>
            </w:r>
          </w:p>
        </w:tc>
        <w:tc>
          <w:tcPr>
            <w:tcW w:w="3220" w:type="dxa"/>
            <w:tcBorders>
              <w:top w:val="single" w:color="333333" w:sz="4" w:space="0"/>
              <w:left w:val="single" w:color="333333" w:sz="4" w:space="0"/>
              <w:bottom w:val="single" w:color="333333" w:sz="4" w:space="0"/>
              <w:right w:val="single" w:color="333333" w:sz="4" w:space="0"/>
            </w:tcBorders>
            <w:shd w:val="clear" w:color="auto" w:fill="auto"/>
            <w:noWrap/>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0.8</w:t>
            </w:r>
            <w:r>
              <w:rPr>
                <w:rFonts w:hint="eastAsia" w:ascii="仿宋_GB2312" w:hAnsi="仿宋_GB2312" w:eastAsia="仿宋_GB2312" w:cs="仿宋_GB2312"/>
                <w:sz w:val="32"/>
                <w:szCs w:val="32"/>
                <w:lang w:val="en-US" w:eastAsia="zh-CN"/>
              </w:rPr>
              <w:t>万元</w:t>
            </w:r>
          </w:p>
        </w:tc>
      </w:tr>
    </w:tbl>
    <w:p>
      <w:pPr>
        <w:keepNext w:val="0"/>
        <w:keepLines w:val="0"/>
        <w:pageBreakBefore w:val="0"/>
        <w:widowControl w:val="0"/>
        <w:kinsoku/>
        <w:wordWrap/>
        <w:overflowPunct/>
        <w:topLinePunct w:val="0"/>
        <w:autoSpaceDE w:val="0"/>
        <w:autoSpaceDN w:val="0"/>
        <w:bidi w:val="0"/>
        <w:adjustRightInd w:val="0"/>
        <w:snapToGrid/>
        <w:spacing w:line="640" w:lineRule="exact"/>
        <w:ind w:firstLine="643" w:firstLineChars="200"/>
        <w:jc w:val="left"/>
        <w:textAlignment w:val="auto"/>
        <w:rPr>
          <w:rFonts w:hint="eastAsia" w:ascii="仿宋_GB2312" w:hAnsi="仿宋_GB2312" w:eastAsia="仿宋_GB2312" w:cs="仿宋_GB2312"/>
          <w:b/>
          <w:color w:val="auto"/>
          <w:kern w:val="0"/>
          <w:sz w:val="32"/>
          <w:szCs w:val="32"/>
          <w:lang w:val="en-US" w:eastAsia="zh-CN"/>
        </w:rPr>
      </w:pPr>
      <w:r>
        <w:rPr>
          <w:rFonts w:hint="eastAsia" w:ascii="仿宋_GB2312" w:hAnsi="仿宋_GB2312" w:eastAsia="仿宋_GB2312" w:cs="仿宋_GB2312"/>
          <w:b/>
          <w:color w:val="auto"/>
          <w:kern w:val="0"/>
          <w:sz w:val="32"/>
          <w:szCs w:val="32"/>
          <w:lang w:val="en-US" w:eastAsia="zh-CN"/>
        </w:rPr>
        <w:t>三、主要标的信息</w:t>
      </w:r>
    </w:p>
    <w:tbl>
      <w:tblPr>
        <w:tblStyle w:val="3"/>
        <w:tblpPr w:leftFromText="180" w:rightFromText="180" w:vertAnchor="text" w:horzAnchor="page" w:tblpX="1620" w:tblpY="595"/>
        <w:tblOverlap w:val="never"/>
        <w:tblW w:w="965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31"/>
        <w:gridCol w:w="1931"/>
        <w:gridCol w:w="1931"/>
        <w:gridCol w:w="1931"/>
        <w:gridCol w:w="193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07" w:hRule="atLeast"/>
          <w:tblHeader/>
        </w:trPr>
        <w:tc>
          <w:tcPr>
            <w:tcW w:w="1931"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leftChars="0" w:right="0" w:rightChars="0"/>
              <w:jc w:val="center"/>
              <w:textAlignment w:val="auto"/>
              <w:rPr>
                <w:rFonts w:hint="eastAsia" w:ascii="仿宋_GB2312" w:hAnsi="仿宋_GB2312" w:eastAsia="仿宋_GB2312" w:cs="仿宋_GB2312"/>
                <w:b/>
                <w:bCs/>
                <w:i w:val="0"/>
                <w:iCs w:val="0"/>
                <w:kern w:val="0"/>
                <w:sz w:val="32"/>
                <w:szCs w:val="32"/>
                <w:lang w:val="en-US" w:eastAsia="zh-CN" w:bidi="ar"/>
              </w:rPr>
            </w:pPr>
            <w:r>
              <w:rPr>
                <w:rFonts w:hint="eastAsia" w:ascii="仿宋_GB2312" w:hAnsi="仿宋_GB2312" w:eastAsia="仿宋_GB2312" w:cs="仿宋_GB2312"/>
                <w:b/>
                <w:bCs/>
                <w:i w:val="0"/>
                <w:iCs w:val="0"/>
                <w:caps w:val="0"/>
                <w:color w:val="222222"/>
                <w:spacing w:val="0"/>
                <w:kern w:val="0"/>
                <w:sz w:val="32"/>
                <w:szCs w:val="32"/>
                <w:lang w:val="en-US" w:eastAsia="zh-CN" w:bidi="ar"/>
              </w:rPr>
              <w:t>品目名称</w:t>
            </w:r>
          </w:p>
        </w:tc>
        <w:tc>
          <w:tcPr>
            <w:tcW w:w="1931"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leftChars="0" w:right="0" w:rightChars="0"/>
              <w:jc w:val="center"/>
              <w:textAlignment w:val="auto"/>
              <w:rPr>
                <w:rFonts w:hint="eastAsia" w:ascii="仿宋_GB2312" w:hAnsi="仿宋_GB2312" w:eastAsia="仿宋_GB2312" w:cs="仿宋_GB2312"/>
                <w:b/>
                <w:bCs/>
                <w:i w:val="0"/>
                <w:iCs w:val="0"/>
                <w:sz w:val="32"/>
                <w:szCs w:val="32"/>
              </w:rPr>
            </w:pPr>
            <w:r>
              <w:rPr>
                <w:rFonts w:hint="eastAsia" w:ascii="仿宋_GB2312" w:hAnsi="仿宋_GB2312" w:eastAsia="仿宋_GB2312" w:cs="仿宋_GB2312"/>
                <w:b/>
                <w:bCs/>
                <w:i w:val="0"/>
                <w:iCs w:val="0"/>
                <w:caps w:val="0"/>
                <w:color w:val="222222"/>
                <w:spacing w:val="0"/>
                <w:kern w:val="0"/>
                <w:sz w:val="32"/>
                <w:szCs w:val="32"/>
                <w:lang w:val="en-US" w:eastAsia="zh-CN" w:bidi="ar"/>
              </w:rPr>
              <w:t>采购标的</w:t>
            </w:r>
          </w:p>
        </w:tc>
        <w:tc>
          <w:tcPr>
            <w:tcW w:w="1931"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leftChars="0" w:right="0" w:rightChars="0"/>
              <w:jc w:val="center"/>
              <w:textAlignment w:val="auto"/>
              <w:rPr>
                <w:rFonts w:hint="eastAsia" w:ascii="仿宋_GB2312" w:hAnsi="仿宋_GB2312" w:eastAsia="仿宋_GB2312" w:cs="仿宋_GB2312"/>
                <w:b/>
                <w:bCs/>
                <w:i w:val="0"/>
                <w:iCs w:val="0"/>
                <w:caps w:val="0"/>
                <w:color w:val="222222"/>
                <w:spacing w:val="0"/>
                <w:sz w:val="32"/>
                <w:szCs w:val="32"/>
              </w:rPr>
            </w:pPr>
            <w:r>
              <w:rPr>
                <w:rFonts w:hint="eastAsia" w:ascii="仿宋_GB2312" w:hAnsi="仿宋_GB2312" w:eastAsia="仿宋_GB2312" w:cs="仿宋_GB2312"/>
                <w:b/>
                <w:bCs/>
                <w:i w:val="0"/>
                <w:iCs w:val="0"/>
                <w:caps w:val="0"/>
                <w:color w:val="222222"/>
                <w:spacing w:val="0"/>
                <w:kern w:val="0"/>
                <w:sz w:val="32"/>
                <w:szCs w:val="32"/>
                <w:lang w:val="en-US" w:eastAsia="zh-CN" w:bidi="ar"/>
              </w:rPr>
              <w:t>服务范围</w:t>
            </w:r>
          </w:p>
        </w:tc>
        <w:tc>
          <w:tcPr>
            <w:tcW w:w="1931"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leftChars="0" w:right="0" w:rightChars="0"/>
              <w:jc w:val="center"/>
              <w:textAlignment w:val="auto"/>
              <w:rPr>
                <w:rFonts w:hint="eastAsia" w:ascii="仿宋_GB2312" w:hAnsi="仿宋_GB2312" w:eastAsia="仿宋_GB2312" w:cs="仿宋_GB2312"/>
                <w:b/>
                <w:bCs/>
                <w:i w:val="0"/>
                <w:iCs w:val="0"/>
                <w:sz w:val="32"/>
                <w:szCs w:val="32"/>
              </w:rPr>
            </w:pPr>
            <w:r>
              <w:rPr>
                <w:rFonts w:hint="eastAsia" w:ascii="仿宋_GB2312" w:hAnsi="仿宋_GB2312" w:eastAsia="仿宋_GB2312" w:cs="仿宋_GB2312"/>
                <w:b/>
                <w:bCs/>
                <w:i w:val="0"/>
                <w:iCs w:val="0"/>
                <w:caps w:val="0"/>
                <w:color w:val="222222"/>
                <w:spacing w:val="0"/>
                <w:kern w:val="0"/>
                <w:sz w:val="32"/>
                <w:szCs w:val="32"/>
                <w:lang w:val="en-US" w:eastAsia="zh-CN" w:bidi="ar"/>
              </w:rPr>
              <w:t>服务要求</w:t>
            </w:r>
          </w:p>
        </w:tc>
        <w:tc>
          <w:tcPr>
            <w:tcW w:w="1934"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leftChars="0" w:right="0" w:rightChars="0"/>
              <w:jc w:val="center"/>
              <w:textAlignment w:val="auto"/>
              <w:rPr>
                <w:rFonts w:hint="eastAsia" w:ascii="仿宋_GB2312" w:hAnsi="仿宋_GB2312" w:eastAsia="仿宋_GB2312" w:cs="仿宋_GB2312"/>
                <w:b/>
                <w:bCs/>
                <w:i w:val="0"/>
                <w:iCs w:val="0"/>
                <w:kern w:val="0"/>
                <w:sz w:val="32"/>
                <w:szCs w:val="32"/>
                <w:lang w:val="en-US" w:eastAsia="zh-CN" w:bidi="ar"/>
              </w:rPr>
            </w:pPr>
            <w:r>
              <w:rPr>
                <w:rFonts w:hint="eastAsia" w:ascii="仿宋_GB2312" w:hAnsi="仿宋_GB2312" w:eastAsia="仿宋_GB2312" w:cs="仿宋_GB2312"/>
                <w:b/>
                <w:bCs/>
                <w:i w:val="0"/>
                <w:iCs w:val="0"/>
                <w:caps w:val="0"/>
                <w:color w:val="222222"/>
                <w:spacing w:val="0"/>
                <w:kern w:val="0"/>
                <w:sz w:val="32"/>
                <w:szCs w:val="32"/>
                <w:lang w:val="en-US" w:eastAsia="zh-CN" w:bidi="ar"/>
              </w:rPr>
              <w:t>服务时间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72" w:hRule="atLeast"/>
        </w:trPr>
        <w:tc>
          <w:tcPr>
            <w:tcW w:w="1931"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sz w:val="16"/>
                <w:szCs w:val="16"/>
              </w:rPr>
            </w:pPr>
            <w:r>
              <w:rPr>
                <w:rFonts w:hint="eastAsia" w:ascii="仿宋_GB2312" w:hAnsi="仿宋_GB2312" w:eastAsia="仿宋_GB2312" w:cs="仿宋_GB2312"/>
                <w:sz w:val="32"/>
                <w:szCs w:val="32"/>
                <w:highlight w:val="none"/>
                <w:lang w:val="zh-CN" w:eastAsia="zh-CN"/>
              </w:rPr>
              <w:t>成都博瑞传播股份有限公司</w:t>
            </w:r>
            <w:r>
              <w:rPr>
                <w:rFonts w:hint="eastAsia" w:ascii="仿宋_GB2312" w:hAnsi="仿宋_GB2312" w:eastAsia="仿宋_GB2312" w:cs="仿宋_GB2312"/>
                <w:sz w:val="32"/>
                <w:szCs w:val="32"/>
                <w:highlight w:val="none"/>
                <w:lang w:val="en-US" w:eastAsia="zh-CN"/>
              </w:rPr>
              <w:t>股权投资审计服务采购项目第二次比选</w:t>
            </w:r>
          </w:p>
        </w:tc>
        <w:tc>
          <w:tcPr>
            <w:tcW w:w="1931"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cs="仿宋_GB2312"/>
                <w:sz w:val="32"/>
                <w:szCs w:val="32"/>
                <w:highlight w:val="none"/>
                <w:lang w:val="en-US" w:eastAsia="zh-CN"/>
              </w:rPr>
              <w:t>审计</w:t>
            </w:r>
            <w:r>
              <w:rPr>
                <w:rFonts w:hint="eastAsia" w:ascii="仿宋_GB2312" w:hAnsi="仿宋_GB2312" w:eastAsia="仿宋_GB2312" w:cs="仿宋_GB2312"/>
                <w:sz w:val="32"/>
                <w:szCs w:val="32"/>
                <w:highlight w:val="none"/>
                <w:lang w:val="en-US" w:eastAsia="zh-CN"/>
              </w:rPr>
              <w:t>服务</w:t>
            </w:r>
          </w:p>
        </w:tc>
        <w:tc>
          <w:tcPr>
            <w:tcW w:w="1931" w:type="dxa"/>
            <w:tcBorders>
              <w:top w:val="single" w:color="333333" w:sz="4" w:space="0"/>
              <w:left w:val="single" w:color="333333" w:sz="4" w:space="0"/>
              <w:bottom w:val="single" w:color="333333" w:sz="4" w:space="0"/>
              <w:right w:val="single" w:color="333333" w:sz="4" w:space="0"/>
            </w:tcBorders>
            <w:shd w:val="clear" w:color="auto" w:fill="auto"/>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博瑞传播拟</w:t>
            </w:r>
            <w:r>
              <w:rPr>
                <w:rFonts w:hint="eastAsia" w:ascii="仿宋_GB2312" w:hAnsi="仿宋_GB2312" w:cs="仿宋_GB2312"/>
                <w:sz w:val="32"/>
                <w:szCs w:val="32"/>
                <w:highlight w:val="none"/>
                <w:lang w:val="en-US" w:eastAsia="zh-CN"/>
              </w:rPr>
              <w:t>收</w:t>
            </w:r>
            <w:r>
              <w:rPr>
                <w:rFonts w:hint="eastAsia" w:ascii="仿宋_GB2312" w:hAnsi="仿宋_GB2312" w:eastAsia="仿宋_GB2312" w:cs="仿宋_GB2312"/>
                <w:sz w:val="32"/>
                <w:szCs w:val="32"/>
                <w:highlight w:val="none"/>
                <w:lang w:val="en-US" w:eastAsia="zh-CN"/>
              </w:rPr>
              <w:t>购标的</w:t>
            </w:r>
          </w:p>
        </w:tc>
        <w:tc>
          <w:tcPr>
            <w:tcW w:w="1931" w:type="dxa"/>
            <w:tcBorders>
              <w:top w:val="single" w:color="333333" w:sz="4" w:space="0"/>
              <w:left w:val="single" w:color="333333" w:sz="4" w:space="0"/>
              <w:bottom w:val="single" w:color="333333" w:sz="4" w:space="0"/>
              <w:right w:val="single" w:color="333333" w:sz="4" w:space="0"/>
            </w:tcBorders>
            <w:shd w:val="clear" w:color="auto" w:fill="auto"/>
            <w:noWrap/>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eastAsia="zh-CN"/>
              </w:rPr>
              <w:t>根据甲方需求提供</w:t>
            </w:r>
            <w:r>
              <w:rPr>
                <w:rFonts w:hint="eastAsia" w:ascii="仿宋_GB2312" w:hAnsi="仿宋_GB2312" w:cs="仿宋_GB2312"/>
                <w:sz w:val="32"/>
                <w:szCs w:val="32"/>
                <w:lang w:val="en-US" w:eastAsia="zh-CN"/>
              </w:rPr>
              <w:t>审计鉴证</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出具</w:t>
            </w:r>
            <w:r>
              <w:rPr>
                <w:rFonts w:hint="eastAsia" w:ascii="仿宋_GB2312" w:hAnsi="仿宋_GB2312" w:cs="仿宋_GB2312"/>
                <w:sz w:val="32"/>
                <w:szCs w:val="32"/>
                <w:lang w:val="en-US" w:eastAsia="zh-CN"/>
              </w:rPr>
              <w:t>审计</w:t>
            </w:r>
            <w:r>
              <w:rPr>
                <w:rFonts w:hint="eastAsia" w:ascii="仿宋_GB2312" w:hAnsi="仿宋_GB2312" w:eastAsia="仿宋_GB2312" w:cs="仿宋_GB2312"/>
                <w:sz w:val="32"/>
                <w:szCs w:val="32"/>
                <w:lang w:val="en-US" w:eastAsia="zh-CN"/>
              </w:rPr>
              <w:t>报告。</w:t>
            </w:r>
          </w:p>
        </w:tc>
        <w:tc>
          <w:tcPr>
            <w:tcW w:w="1934" w:type="dxa"/>
            <w:tcBorders>
              <w:top w:val="single" w:color="333333" w:sz="4" w:space="0"/>
              <w:left w:val="single" w:color="333333" w:sz="4" w:space="0"/>
              <w:bottom w:val="single" w:color="333333" w:sz="4" w:space="0"/>
              <w:right w:val="single" w:color="333333" w:sz="4" w:space="0"/>
            </w:tcBorders>
            <w:shd w:val="clear" w:color="auto" w:fill="auto"/>
            <w:noWrap/>
            <w:tcMar>
              <w:top w:w="50" w:type="dxa"/>
              <w:left w:w="80" w:type="dxa"/>
              <w:bottom w:w="50" w:type="dxa"/>
              <w:right w:w="80" w:type="dxa"/>
            </w:tcMar>
            <w:vAlign w:val="center"/>
          </w:tcPr>
          <w:p>
            <w:pPr>
              <w:keepNext w:val="0"/>
              <w:keepLines w:val="0"/>
              <w:pageBreakBefore w:val="0"/>
              <w:widowControl/>
              <w:suppressLineNumbers w:val="0"/>
              <w:kinsoku/>
              <w:wordWrap w:val="0"/>
              <w:overflowPunct/>
              <w:topLinePunct w:val="0"/>
              <w:bidi w:val="0"/>
              <w:snapToGrid/>
              <w:spacing w:before="0" w:beforeAutospacing="0" w:after="0" w:afterAutospacing="0" w:line="640" w:lineRule="exact"/>
              <w:ind w:left="0" w:right="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自合同签订起一年</w:t>
            </w:r>
          </w:p>
        </w:tc>
      </w:tr>
    </w:tbl>
    <w:p>
      <w:pPr>
        <w:keepNext w:val="0"/>
        <w:keepLines w:val="0"/>
        <w:pageBreakBefore w:val="0"/>
        <w:widowControl w:val="0"/>
        <w:kinsoku/>
        <w:wordWrap/>
        <w:overflowPunct/>
        <w:topLinePunct w:val="0"/>
        <w:autoSpaceDE w:val="0"/>
        <w:autoSpaceDN w:val="0"/>
        <w:bidi w:val="0"/>
        <w:adjustRightInd w:val="0"/>
        <w:snapToGrid/>
        <w:spacing w:line="640" w:lineRule="exact"/>
        <w:ind w:firstLine="643" w:firstLineChars="200"/>
        <w:jc w:val="left"/>
        <w:textAlignment w:val="auto"/>
        <w:rPr>
          <w:rFonts w:hint="eastAsia" w:ascii="仿宋_GB2312" w:hAnsi="仿宋_GB2312" w:eastAsia="仿宋_GB2312" w:cs="仿宋_GB2312"/>
          <w:b/>
          <w:color w:val="auto"/>
          <w:kern w:val="0"/>
          <w:sz w:val="32"/>
          <w:szCs w:val="32"/>
          <w:lang w:val="en-US" w:eastAsia="zh-CN"/>
        </w:rPr>
      </w:pPr>
      <w:r>
        <w:rPr>
          <w:rFonts w:hint="eastAsia" w:ascii="仿宋_GB2312" w:hAnsi="仿宋_GB2312" w:eastAsia="仿宋_GB2312" w:cs="仿宋_GB2312"/>
          <w:b/>
          <w:color w:val="auto"/>
          <w:kern w:val="0"/>
          <w:sz w:val="32"/>
          <w:szCs w:val="32"/>
          <w:lang w:val="en-US" w:eastAsia="zh-CN"/>
        </w:rPr>
        <w:t>四、公告期限</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bookmarkStart w:id="5" w:name="OLE_LINK5"/>
      <w:r>
        <w:rPr>
          <w:rFonts w:hint="default" w:ascii="仿宋_GB2312" w:hAnsi="仿宋_GB2312" w:eastAsia="仿宋_GB2312" w:cs="仿宋_GB2312"/>
          <w:color w:val="auto"/>
          <w:kern w:val="0"/>
          <w:sz w:val="32"/>
          <w:szCs w:val="32"/>
          <w:lang w:val="en-US" w:eastAsia="zh-CN"/>
        </w:rPr>
        <w:t>自本公告发布之日起1个工作日</w:t>
      </w:r>
      <w:bookmarkEnd w:id="5"/>
      <w:r>
        <w:rPr>
          <w:rFonts w:hint="default" w:ascii="仿宋_GB2312" w:hAnsi="仿宋_GB2312" w:eastAsia="仿宋_GB2312" w:cs="仿宋_GB2312"/>
          <w:color w:val="auto"/>
          <w:kern w:val="0"/>
          <w:sz w:val="32"/>
          <w:szCs w:val="32"/>
          <w:lang w:val="en-US" w:eastAsia="zh-CN"/>
        </w:rPr>
        <w:t>。</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3" w:firstLineChars="200"/>
        <w:jc w:val="left"/>
        <w:textAlignment w:val="auto"/>
        <w:rPr>
          <w:rFonts w:hint="eastAsia" w:ascii="仿宋_GB2312" w:hAnsi="仿宋_GB2312" w:eastAsia="仿宋_GB2312" w:cs="仿宋_GB2312"/>
          <w:b/>
          <w:color w:val="auto"/>
          <w:kern w:val="0"/>
          <w:sz w:val="32"/>
          <w:szCs w:val="32"/>
          <w:lang w:val="en-US" w:eastAsia="zh-CN"/>
        </w:rPr>
      </w:pPr>
      <w:r>
        <w:rPr>
          <w:rFonts w:hint="eastAsia" w:ascii="仿宋_GB2312" w:hAnsi="仿宋_GB2312" w:eastAsia="仿宋_GB2312" w:cs="仿宋_GB2312"/>
          <w:b/>
          <w:color w:val="auto"/>
          <w:kern w:val="0"/>
          <w:sz w:val="32"/>
          <w:szCs w:val="32"/>
          <w:lang w:val="en-US" w:eastAsia="zh-CN"/>
        </w:rPr>
        <w:t>五、其他补充事宜</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监督部门：</w:t>
      </w:r>
      <w:bookmarkStart w:id="6" w:name="OLE_LINK10"/>
      <w:r>
        <w:rPr>
          <w:rFonts w:hint="eastAsia" w:ascii="仿宋_GB2312" w:hAnsi="仿宋_GB2312" w:eastAsia="仿宋_GB2312" w:cs="仿宋_GB2312"/>
          <w:color w:val="auto"/>
          <w:kern w:val="0"/>
          <w:sz w:val="32"/>
          <w:szCs w:val="32"/>
          <w:lang w:val="en-US" w:eastAsia="zh-CN"/>
        </w:rPr>
        <w:t>成都博瑞传播股份有限公司内控审计部</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b/>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联系电话：028-62560935</w:t>
      </w:r>
    </w:p>
    <w:bookmarkEnd w:id="6"/>
    <w:p>
      <w:pPr>
        <w:keepNext w:val="0"/>
        <w:keepLines w:val="0"/>
        <w:pageBreakBefore w:val="0"/>
        <w:widowControl w:val="0"/>
        <w:kinsoku/>
        <w:wordWrap/>
        <w:overflowPunct/>
        <w:topLinePunct w:val="0"/>
        <w:autoSpaceDE w:val="0"/>
        <w:autoSpaceDN w:val="0"/>
        <w:bidi w:val="0"/>
        <w:adjustRightInd w:val="0"/>
        <w:snapToGrid/>
        <w:spacing w:line="640" w:lineRule="exact"/>
        <w:ind w:firstLine="643" w:firstLineChars="200"/>
        <w:jc w:val="left"/>
        <w:textAlignment w:val="auto"/>
        <w:rPr>
          <w:rFonts w:hint="eastAsia"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lang w:val="en-US" w:eastAsia="zh-CN"/>
        </w:rPr>
        <w:t>六</w:t>
      </w:r>
      <w:r>
        <w:rPr>
          <w:rFonts w:hint="eastAsia" w:ascii="仿宋_GB2312" w:hAnsi="仿宋_GB2312" w:eastAsia="仿宋_GB2312" w:cs="仿宋_GB2312"/>
          <w:b/>
          <w:color w:val="auto"/>
          <w:kern w:val="0"/>
          <w:sz w:val="32"/>
          <w:szCs w:val="32"/>
        </w:rPr>
        <w:t>、联系方式</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采购人：成都博瑞传播股份有限公司</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地址：成都市锦江区三色路38号博瑞创意成都A座23层</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邮编：</w:t>
      </w:r>
      <w:r>
        <w:rPr>
          <w:rFonts w:hint="eastAsia" w:ascii="仿宋_GB2312" w:hAnsi="仿宋_GB2312" w:eastAsia="仿宋_GB2312" w:cs="仿宋_GB2312"/>
          <w:color w:val="auto"/>
          <w:kern w:val="0"/>
          <w:sz w:val="32"/>
          <w:szCs w:val="32"/>
          <w:lang w:val="en-US" w:eastAsia="zh-CN"/>
        </w:rPr>
        <w:t>610000</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联系人：</w:t>
      </w:r>
      <w:r>
        <w:rPr>
          <w:rFonts w:hint="eastAsia" w:ascii="仿宋_GB2312" w:hAnsi="仿宋_GB2312" w:cs="仿宋_GB2312"/>
          <w:color w:val="auto"/>
          <w:kern w:val="0"/>
          <w:sz w:val="32"/>
          <w:szCs w:val="32"/>
          <w:lang w:val="en-US" w:eastAsia="zh-CN"/>
        </w:rPr>
        <w:t>李女士</w:t>
      </w:r>
    </w:p>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rPr>
        <w:t>联系电话：</w:t>
      </w:r>
      <w:r>
        <w:rPr>
          <w:rFonts w:hint="eastAsia" w:ascii="仿宋_GB2312" w:hAnsi="仿宋_GB2312" w:eastAsia="仿宋_GB2312" w:cs="仿宋_GB2312"/>
          <w:sz w:val="32"/>
          <w:szCs w:val="32"/>
          <w:u w:val="none"/>
        </w:rPr>
        <w:t>028-6256095</w:t>
      </w:r>
      <w:r>
        <w:rPr>
          <w:rFonts w:hint="eastAsia" w:ascii="仿宋_GB2312" w:hAnsi="仿宋_GB2312" w:cs="仿宋_GB2312"/>
          <w:sz w:val="32"/>
          <w:szCs w:val="32"/>
          <w:u w:val="none"/>
          <w:lang w:val="en-US" w:eastAsia="zh-CN"/>
        </w:rPr>
        <w:t>7</w:t>
      </w:r>
    </w:p>
    <w:bookmarkEnd w:id="2"/>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default" w:ascii="仿宋_GB2312" w:hAnsi="仿宋_GB2312" w:eastAsia="仿宋_GB2312" w:cs="仿宋_GB2312"/>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楷体_GB2312" w:hAnsi="楷体_GB2312" w:eastAsia="楷体_GB2312" w:cs="楷体_GB2312"/>
          <w:sz w:val="32"/>
          <w:szCs w:val="32"/>
          <w:highlight w:val="none"/>
          <w:lang w:val="en-US" w:eastAsia="zh-CN"/>
        </w:rPr>
      </w:pPr>
    </w:p>
    <w:p>
      <w:pPr>
        <w:keepNext w:val="0"/>
        <w:keepLines w:val="0"/>
        <w:pageBreakBefore w:val="0"/>
        <w:widowControl w:val="0"/>
        <w:kinsoku/>
        <w:wordWrap/>
        <w:overflowPunct/>
        <w:topLinePunct w:val="0"/>
        <w:autoSpaceDE w:val="0"/>
        <w:autoSpaceDN w:val="0"/>
        <w:bidi w:val="0"/>
        <w:adjustRightInd w:val="0"/>
        <w:snapToGrid/>
        <w:spacing w:line="640" w:lineRule="exact"/>
        <w:ind w:firstLine="640" w:firstLineChars="200"/>
        <w:jc w:val="left"/>
        <w:textAlignment w:val="auto"/>
        <w:rPr>
          <w:rFonts w:hint="eastAsia" w:ascii="仿宋_GB2312" w:hAnsi="仿宋_GB2312" w:eastAsia="仿宋_GB2312" w:cs="仿宋_GB2312"/>
          <w:color w:val="auto"/>
          <w:kern w:val="0"/>
          <w:sz w:val="32"/>
          <w:szCs w:val="32"/>
        </w:rPr>
      </w:pPr>
      <w:r>
        <w:rPr>
          <w:rFonts w:hint="eastAsia"/>
          <w:lang w:val="en-US" w:eastAsia="zh-CN"/>
        </w:rPr>
        <w:t xml:space="preserve">                       </w:t>
      </w:r>
      <w:r>
        <w:rPr>
          <w:rFonts w:hint="eastAsia" w:ascii="仿宋_GB2312" w:hAnsi="仿宋_GB2312" w:eastAsia="仿宋_GB2312" w:cs="仿宋_GB2312"/>
          <w:color w:val="auto"/>
          <w:kern w:val="0"/>
          <w:sz w:val="32"/>
          <w:szCs w:val="32"/>
        </w:rPr>
        <w:t>成都博瑞传播股份有限公司</w:t>
      </w:r>
    </w:p>
    <w:p>
      <w:pPr>
        <w:keepNext w:val="0"/>
        <w:keepLines w:val="0"/>
        <w:pageBreakBefore w:val="0"/>
        <w:widowControl w:val="0"/>
        <w:kinsoku/>
        <w:wordWrap/>
        <w:overflowPunct/>
        <w:topLinePunct w:val="0"/>
        <w:autoSpaceDE w:val="0"/>
        <w:autoSpaceDN w:val="0"/>
        <w:bidi w:val="0"/>
        <w:adjustRightInd w:val="0"/>
        <w:snapToGrid/>
        <w:spacing w:line="640" w:lineRule="exact"/>
        <w:ind w:firstLine="5440" w:firstLineChars="1700"/>
        <w:jc w:val="lef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2026年</w:t>
      </w:r>
      <w:r>
        <w:rPr>
          <w:rFonts w:hint="eastAsia" w:ascii="仿宋_GB2312" w:hAnsi="仿宋_GB2312" w:cs="仿宋_GB2312"/>
          <w:color w:val="auto"/>
          <w:kern w:val="0"/>
          <w:sz w:val="32"/>
          <w:szCs w:val="32"/>
          <w:lang w:val="en-US" w:eastAsia="zh-CN"/>
        </w:rPr>
        <w:t>6</w:t>
      </w:r>
      <w:r>
        <w:rPr>
          <w:rFonts w:hint="eastAsia" w:ascii="仿宋_GB2312" w:hAnsi="仿宋_GB2312" w:eastAsia="仿宋_GB2312" w:cs="仿宋_GB2312"/>
          <w:color w:val="auto"/>
          <w:kern w:val="0"/>
          <w:sz w:val="32"/>
          <w:szCs w:val="32"/>
          <w:lang w:val="en-US" w:eastAsia="zh-CN"/>
        </w:rPr>
        <w:t>月</w:t>
      </w:r>
      <w:r>
        <w:rPr>
          <w:rFonts w:hint="eastAsia" w:ascii="仿宋_GB2312" w:hAnsi="仿宋_GB2312" w:cs="仿宋_GB2312"/>
          <w:color w:val="auto"/>
          <w:kern w:val="0"/>
          <w:sz w:val="32"/>
          <w:szCs w:val="32"/>
          <w:lang w:val="en-US" w:eastAsia="zh-CN"/>
        </w:rPr>
        <w:t>24</w:t>
      </w:r>
      <w:r>
        <w:rPr>
          <w:rFonts w:hint="eastAsia" w:ascii="仿宋_GB2312" w:hAnsi="仿宋_GB2312" w:eastAsia="仿宋_GB2312" w:cs="仿宋_GB2312"/>
          <w:color w:val="auto"/>
          <w:kern w:val="0"/>
          <w:sz w:val="32"/>
          <w:szCs w:val="32"/>
          <w:lang w:val="en-US" w:eastAsia="zh-CN"/>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B2523"/>
    <w:rsid w:val="1B7B2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ind w:firstLine="0" w:firstLineChars="0"/>
      <w:jc w:val="center"/>
      <w:outlineLvl w:val="0"/>
    </w:pPr>
    <w:rPr>
      <w:rFonts w:eastAsia="方正小标宋简体" w:asciiTheme="majorHAnsi" w:hAnsiTheme="majorHAnsi" w:cstheme="majorBidi"/>
      <w:bCs/>
      <w:sz w:val="4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2026-06-24T02:58:00Z</dcterms:created>
  <dc:creator>think</dc:creator>
  <cp:lastModifiedBy>think</cp:lastModifiedBy>
  <dcterms:modified xsi:type="dcterms:W3CDTF">2026-06-24T02:59:20Z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D4223F4947E4449D9B4E823EA9F011FB</vt:lpwstr>
  </property>
</Properties>
</file>